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68B" w:rsidRPr="008D75D9" w:rsidRDefault="0029168B" w:rsidP="0029168B">
      <w:pPr>
        <w:spacing w:line="360" w:lineRule="auto"/>
        <w:jc w:val="center"/>
        <w:rPr>
          <w:rFonts w:ascii="宋体" w:eastAsia="宋体" w:hAnsi="宋体"/>
          <w:b/>
          <w:sz w:val="28"/>
          <w:szCs w:val="24"/>
        </w:rPr>
      </w:pPr>
      <w:r w:rsidRPr="008D75D9">
        <w:rPr>
          <w:rFonts w:ascii="宋体" w:eastAsia="宋体" w:hAnsi="宋体" w:hint="eastAsia"/>
          <w:b/>
          <w:sz w:val="28"/>
          <w:szCs w:val="24"/>
        </w:rPr>
        <w:t>会计硕士专业学位研究生参考性培养方案</w:t>
      </w:r>
      <w:bookmarkStart w:id="0" w:name="_GoBack"/>
      <w:bookmarkEnd w:id="0"/>
    </w:p>
    <w:p w:rsidR="0029168B" w:rsidRPr="008D75D9" w:rsidRDefault="0029168B" w:rsidP="0029168B">
      <w:pPr>
        <w:spacing w:line="360" w:lineRule="auto"/>
        <w:jc w:val="center"/>
        <w:rPr>
          <w:rFonts w:ascii="宋体" w:eastAsia="宋体" w:hAnsi="宋体" w:hint="eastAsia"/>
          <w:b/>
          <w:sz w:val="28"/>
          <w:szCs w:val="24"/>
        </w:rPr>
      </w:pPr>
      <w:r w:rsidRPr="008D75D9">
        <w:rPr>
          <w:rFonts w:ascii="宋体" w:eastAsia="宋体" w:hAnsi="宋体" w:hint="eastAsia"/>
          <w:b/>
          <w:sz w:val="28"/>
          <w:szCs w:val="24"/>
        </w:rPr>
        <w:t>（2019年）</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本方案仅</w:t>
      </w:r>
      <w:proofErr w:type="gramStart"/>
      <w:r w:rsidRPr="0029168B">
        <w:rPr>
          <w:rFonts w:ascii="宋体" w:eastAsia="宋体" w:hAnsi="宋体" w:hint="eastAsia"/>
          <w:sz w:val="24"/>
          <w:szCs w:val="24"/>
        </w:rPr>
        <w:t>供指导</w:t>
      </w:r>
      <w:proofErr w:type="gramEnd"/>
      <w:r w:rsidRPr="0029168B">
        <w:rPr>
          <w:rFonts w:ascii="宋体" w:eastAsia="宋体" w:hAnsi="宋体" w:hint="eastAsia"/>
          <w:sz w:val="24"/>
          <w:szCs w:val="24"/>
        </w:rPr>
        <w:t>与参考之用，请各培养单位结合自身实际情况，建立并持续改进本单位的培养方案。</w:t>
      </w:r>
    </w:p>
    <w:p w:rsidR="0029168B" w:rsidRPr="0029168B" w:rsidRDefault="0029168B" w:rsidP="0029168B">
      <w:pPr>
        <w:spacing w:line="360" w:lineRule="auto"/>
        <w:ind w:firstLineChars="200" w:firstLine="482"/>
        <w:rPr>
          <w:rFonts w:ascii="宋体" w:eastAsia="宋体" w:hAnsi="宋体" w:hint="eastAsia"/>
          <w:b/>
          <w:sz w:val="24"/>
          <w:szCs w:val="24"/>
        </w:rPr>
      </w:pPr>
      <w:r w:rsidRPr="0029168B">
        <w:rPr>
          <w:rFonts w:ascii="宋体" w:eastAsia="宋体" w:hAnsi="宋体" w:hint="eastAsia"/>
          <w:b/>
          <w:sz w:val="24"/>
          <w:szCs w:val="24"/>
        </w:rPr>
        <w:t>一、培养目标及基本要求</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培养具有发现问题、分析问题与创造性解决问题能力的高素质、应用型、国际化会计专门人才。基本要求为：</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（一）具有良好职业道德、终身学习意识和探索创新精神。</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（二）具有较强的业务能力，能够熟练运用现代会计、财务、审计及相关领域的专业知识分析并解决实际问题。</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（三）具有从事高层次会计管理工作所必备的国际视野、战略意识、领导潜质、沟通能力和合作精神。</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（四）熟练掌握和运用数据处理技术，支持企业正确决策。</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（五）熟练掌握和运用一门外国语。</w:t>
      </w:r>
    </w:p>
    <w:p w:rsidR="0029168B" w:rsidRPr="0029168B" w:rsidRDefault="0029168B" w:rsidP="0029168B">
      <w:pPr>
        <w:spacing w:line="360" w:lineRule="auto"/>
        <w:ind w:firstLineChars="200" w:firstLine="482"/>
        <w:rPr>
          <w:rFonts w:ascii="宋体" w:eastAsia="宋体" w:hAnsi="宋体" w:hint="eastAsia"/>
          <w:b/>
          <w:sz w:val="24"/>
          <w:szCs w:val="24"/>
        </w:rPr>
      </w:pPr>
      <w:r w:rsidRPr="0029168B">
        <w:rPr>
          <w:rFonts w:ascii="宋体" w:eastAsia="宋体" w:hAnsi="宋体" w:hint="eastAsia"/>
          <w:b/>
          <w:sz w:val="24"/>
          <w:szCs w:val="24"/>
        </w:rPr>
        <w:t>二、培养特色与方向</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各培养单位应根据其办学优势和社会需求定位培养特色，设置培养方向，并根据培养方向设置课程模块，制定具体培养方案。</w:t>
      </w:r>
    </w:p>
    <w:p w:rsidR="0029168B" w:rsidRPr="0029168B" w:rsidRDefault="0029168B" w:rsidP="0029168B">
      <w:pPr>
        <w:spacing w:line="360" w:lineRule="auto"/>
        <w:ind w:firstLineChars="200" w:firstLine="482"/>
        <w:rPr>
          <w:rFonts w:ascii="宋体" w:eastAsia="宋体" w:hAnsi="宋体" w:hint="eastAsia"/>
          <w:b/>
          <w:sz w:val="24"/>
          <w:szCs w:val="24"/>
        </w:rPr>
      </w:pPr>
      <w:r w:rsidRPr="0029168B">
        <w:rPr>
          <w:rFonts w:ascii="宋体" w:eastAsia="宋体" w:hAnsi="宋体" w:hint="eastAsia"/>
          <w:b/>
          <w:sz w:val="24"/>
          <w:szCs w:val="24"/>
        </w:rPr>
        <w:t>三、学制与年限</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实行弹性学制，学习年限一般为2-3年。</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采用学分制，总学分不少于40学分。</w:t>
      </w:r>
    </w:p>
    <w:p w:rsidR="0029168B" w:rsidRPr="0029168B" w:rsidRDefault="0029168B" w:rsidP="0029168B">
      <w:pPr>
        <w:spacing w:line="360" w:lineRule="auto"/>
        <w:ind w:firstLineChars="200" w:firstLine="482"/>
        <w:rPr>
          <w:rFonts w:ascii="宋体" w:eastAsia="宋体" w:hAnsi="宋体" w:hint="eastAsia"/>
          <w:b/>
          <w:sz w:val="24"/>
          <w:szCs w:val="24"/>
        </w:rPr>
      </w:pPr>
      <w:r w:rsidRPr="0029168B">
        <w:rPr>
          <w:rFonts w:ascii="宋体" w:eastAsia="宋体" w:hAnsi="宋体" w:hint="eastAsia"/>
          <w:b/>
          <w:sz w:val="24"/>
          <w:szCs w:val="24"/>
        </w:rPr>
        <w:t>四、培养方式</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（一）重视和加强政治思想素质和职业道德的培养。</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（二）成立导师组，加强教学管理和专业指导工作。</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（三）注重理论联系实际，强调培养学生分析和解决实际问题的能力，重视采用案例教学、沙盘演练、现场参观研讨、参与企业咨询等多样化的实践教学方法，逐步增加实践教学的比例。</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（四）实行双导师制，聘请企事业单位、会计师事务所、政府部门有关专家共同承担指导工作。开辟第二课堂，聘请有实践经验的专家开设讲座或承担部分课程。</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lastRenderedPageBreak/>
        <w:t>（五）加强实践环节，了解会计实务，培养实践应用能力。</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（六）综合评定学生的学习成绩，包括考试、作业、案例分析、课堂讨论、撰写专题报告等。</w:t>
      </w:r>
    </w:p>
    <w:p w:rsidR="0029168B" w:rsidRPr="0029168B" w:rsidRDefault="0029168B" w:rsidP="0029168B">
      <w:pPr>
        <w:spacing w:line="360" w:lineRule="auto"/>
        <w:ind w:firstLineChars="200" w:firstLine="482"/>
        <w:rPr>
          <w:rFonts w:ascii="宋体" w:eastAsia="宋体" w:hAnsi="宋体" w:hint="eastAsia"/>
          <w:b/>
          <w:sz w:val="24"/>
          <w:szCs w:val="24"/>
        </w:rPr>
      </w:pPr>
      <w:r w:rsidRPr="0029168B">
        <w:rPr>
          <w:rFonts w:ascii="宋体" w:eastAsia="宋体" w:hAnsi="宋体" w:hint="eastAsia"/>
          <w:b/>
          <w:sz w:val="24"/>
          <w:szCs w:val="24"/>
        </w:rPr>
        <w:t>五、课程设置</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各培养单位应根据社会需求和本单位的办学特色及优势，有针对性地制定本单位培养方案，设计课程体系，确定教学内容，加强教学管理，做好培养工作。课程教学要紧密结合财务、会计、审计实务，重视和加强政治思想素质和职业道德的培养，坚持理论联系实际，加强案例教学，注重实践能力的培养。</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设置包括必修课、选修课和实践课的课程体系。</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（一）必修课（必须修读，共21学分）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1.公共必修课（共7学分）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（1）政治课（2学分）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（2）外国语（3学分）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（3）管理经济学（2学分）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2.专业必修课（共14学分）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（1）财务会计理论与实务（3学分）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（2）财务管理理论与实务（3学分）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（3）审计理论与实务（3学分）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（4）管理会计理论与实务（3学分）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（5）商业伦理与会计职业道德（2学分）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（二）选修课（必须修满12学分）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各培养单位应从自身项目使命、愿景、规划及办学基础出发选择以下模块中的选修课或开设其他选修课，在此基础上形成办学特色。</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1.专业精深模块</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（1）财务报表分析</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（2）内部控制与风险管理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（3）政府与非营利性组织会计</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（4）企业税务筹划</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（5）企业价值评估</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lastRenderedPageBreak/>
        <w:t>（6）企业并购</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（7）公司治理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（8）资本市场与上市筹划</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（9）战略管理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2.新经济新技术模块</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（1）数字经济概论</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（2）大数据与财务决策</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（3）人工智能与会计发展</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（4）商业模式创新</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（5）金融科技</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（6）财务共享</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（7）新技术环境与审计变革</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3.知识整合与行动学习模块</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（1）管理沙盘模拟</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（2）管理整合</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（3）并购与IPO</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（4）宏观经济政策分析与财务决策</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（5）产业经济分析与财务决策</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（6）经济周期与财务决策</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（7）行动学习与知识运用</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4.国际运营模块</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（1）专业外语</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（2）全球供应链管理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（3）国际金融市场</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（4）国际会计准则</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（5）国际财务管理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（6）国际审计准则</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（7）国际税收筹划</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5.沟通与交流模块</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lastRenderedPageBreak/>
        <w:t>（1）管理能力与沟通技巧</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（2）领导力</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（3）商务谈判</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（4）跨文化交流</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（5）管理心理学</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6.研究方法模块</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（1）数量分析方法</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（2）管理统计学</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（3）会计应用研究方法</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（4）学术规范与论文写作</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（三）实践课（必须修满7学分）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1.行业实践（5学分）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在学习期间必须保证不少于半年的实习实践，可采用集中实践与分段实践相结合的方式。学生应提交实践计划，撰写实践总结报告，通过后获得相应学分。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具有三年以上财务、会计、审计相关专业工作经验的学生，可以通过提交专业实务工作总结等方式，获得相应学分。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2．案例研究与开发（2学分）</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在学习期间必须参与案例研究与开发活动，包括但不限于参加学生案例大赛、独立或协助指导老师通过实地调研形成教学案例、参与企业管理咨询活动并形成管理咨询报告、发表案例研究方面的学术成果。案例研究与开发活动由指导教师根据学生参与的案例开发工作情况或科研成果评定成绩，学生取得相应学分。</w:t>
      </w:r>
    </w:p>
    <w:p w:rsidR="0029168B" w:rsidRPr="0029168B" w:rsidRDefault="0029168B" w:rsidP="0029168B">
      <w:pPr>
        <w:spacing w:line="360" w:lineRule="auto"/>
        <w:ind w:firstLineChars="200" w:firstLine="482"/>
        <w:rPr>
          <w:rFonts w:ascii="宋体" w:eastAsia="宋体" w:hAnsi="宋体" w:hint="eastAsia"/>
          <w:b/>
          <w:sz w:val="24"/>
          <w:szCs w:val="24"/>
        </w:rPr>
      </w:pPr>
      <w:r w:rsidRPr="0029168B">
        <w:rPr>
          <w:rFonts w:ascii="宋体" w:eastAsia="宋体" w:hAnsi="宋体" w:hint="eastAsia"/>
          <w:b/>
          <w:sz w:val="24"/>
          <w:szCs w:val="24"/>
        </w:rPr>
        <w:t>六、学位论文</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会计硕士专业学位论文要体现专业学位特点，突出学以致用，注重解决实际问题。学位论文应体现学生已系统掌握会计理论、专业知识和研究方法，具备综合运用会计等相关学科的理论、知识、方法，分析和解决会计实际问题的能力，具有创新性和实用价值。</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t>论文类型一般应采用案例分析、调研（调查）报告、专题研究、组织（管理）诊断等。鼓励学位论文选题与实习实践、案例开发内容相关。学位论文的篇幅一般不少于2万字。</w:t>
      </w:r>
    </w:p>
    <w:p w:rsidR="0029168B" w:rsidRPr="0029168B" w:rsidRDefault="0029168B" w:rsidP="0029168B">
      <w:pPr>
        <w:spacing w:line="360" w:lineRule="auto"/>
        <w:ind w:firstLineChars="200" w:firstLine="480"/>
        <w:rPr>
          <w:rFonts w:ascii="宋体" w:eastAsia="宋体" w:hAnsi="宋体" w:hint="eastAsia"/>
          <w:sz w:val="24"/>
          <w:szCs w:val="24"/>
        </w:rPr>
      </w:pPr>
      <w:r w:rsidRPr="0029168B">
        <w:rPr>
          <w:rFonts w:ascii="宋体" w:eastAsia="宋体" w:hAnsi="宋体" w:hint="eastAsia"/>
          <w:sz w:val="24"/>
          <w:szCs w:val="24"/>
        </w:rPr>
        <w:lastRenderedPageBreak/>
        <w:t>各培养单位应建立学位论文管理相关制度。论文指导、评阅或答辩工作应有高级专业技术职称的校外实务部门专业人员参与。</w:t>
      </w:r>
    </w:p>
    <w:p w:rsidR="004A4A49" w:rsidRPr="0029168B" w:rsidRDefault="004A4A49" w:rsidP="0029168B">
      <w:pPr>
        <w:spacing w:line="360" w:lineRule="auto"/>
        <w:ind w:firstLineChars="200" w:firstLine="480"/>
        <w:rPr>
          <w:rFonts w:ascii="宋体" w:eastAsia="宋体" w:hAnsi="宋体"/>
          <w:sz w:val="24"/>
          <w:szCs w:val="24"/>
        </w:rPr>
      </w:pPr>
    </w:p>
    <w:sectPr w:rsidR="004A4A49" w:rsidRPr="002916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FBD" w:rsidRDefault="009B1FBD" w:rsidP="0029168B">
      <w:r>
        <w:separator/>
      </w:r>
    </w:p>
  </w:endnote>
  <w:endnote w:type="continuationSeparator" w:id="0">
    <w:p w:rsidR="009B1FBD" w:rsidRDefault="009B1FBD" w:rsidP="0029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528700"/>
      <w:docPartObj>
        <w:docPartGallery w:val="Page Numbers (Bottom of Page)"/>
        <w:docPartUnique/>
      </w:docPartObj>
    </w:sdtPr>
    <w:sdtContent>
      <w:p w:rsidR="008D75D9" w:rsidRDefault="008D75D9">
        <w:pPr>
          <w:pStyle w:val="a5"/>
          <w:jc w:val="center"/>
        </w:pPr>
        <w:r>
          <w:fldChar w:fldCharType="begin"/>
        </w:r>
        <w:r>
          <w:instrText>PAGE   \* MERGEFORMAT</w:instrText>
        </w:r>
        <w:r>
          <w:fldChar w:fldCharType="separate"/>
        </w:r>
        <w:r w:rsidRPr="008D75D9">
          <w:rPr>
            <w:noProof/>
            <w:lang w:val="zh-CN"/>
          </w:rPr>
          <w:t>5</w:t>
        </w:r>
        <w:r>
          <w:fldChar w:fldCharType="end"/>
        </w:r>
      </w:p>
    </w:sdtContent>
  </w:sdt>
  <w:p w:rsidR="008D75D9" w:rsidRDefault="008D75D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FBD" w:rsidRDefault="009B1FBD" w:rsidP="0029168B">
      <w:r>
        <w:separator/>
      </w:r>
    </w:p>
  </w:footnote>
  <w:footnote w:type="continuationSeparator" w:id="0">
    <w:p w:rsidR="009B1FBD" w:rsidRDefault="009B1FBD" w:rsidP="002916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3E"/>
    <w:rsid w:val="0029168B"/>
    <w:rsid w:val="004A4A49"/>
    <w:rsid w:val="008D75D9"/>
    <w:rsid w:val="009B1FBD"/>
    <w:rsid w:val="00AB0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6A6F4C-2D65-4330-9FFD-B90E44F5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16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9168B"/>
    <w:rPr>
      <w:sz w:val="18"/>
      <w:szCs w:val="18"/>
    </w:rPr>
  </w:style>
  <w:style w:type="paragraph" w:styleId="a5">
    <w:name w:val="footer"/>
    <w:basedOn w:val="a"/>
    <w:link w:val="a6"/>
    <w:uiPriority w:val="99"/>
    <w:unhideWhenUsed/>
    <w:rsid w:val="0029168B"/>
    <w:pPr>
      <w:tabs>
        <w:tab w:val="center" w:pos="4153"/>
        <w:tab w:val="right" w:pos="8306"/>
      </w:tabs>
      <w:snapToGrid w:val="0"/>
      <w:jc w:val="left"/>
    </w:pPr>
    <w:rPr>
      <w:sz w:val="18"/>
      <w:szCs w:val="18"/>
    </w:rPr>
  </w:style>
  <w:style w:type="character" w:customStyle="1" w:styleId="a6">
    <w:name w:val="页脚 字符"/>
    <w:basedOn w:val="a0"/>
    <w:link w:val="a5"/>
    <w:uiPriority w:val="99"/>
    <w:rsid w:val="0029168B"/>
    <w:rPr>
      <w:sz w:val="18"/>
      <w:szCs w:val="18"/>
    </w:rPr>
  </w:style>
  <w:style w:type="paragraph" w:styleId="a7">
    <w:name w:val="Normal (Web)"/>
    <w:basedOn w:val="a"/>
    <w:uiPriority w:val="99"/>
    <w:semiHidden/>
    <w:unhideWhenUsed/>
    <w:rsid w:val="0029168B"/>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2916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37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320</Words>
  <Characters>1824</Characters>
  <Application>Microsoft Office Word</Application>
  <DocSecurity>0</DocSecurity>
  <Lines>15</Lines>
  <Paragraphs>4</Paragraphs>
  <ScaleCrop>false</ScaleCrop>
  <Company>Lenovo</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2019-11-26T03:51:00Z</dcterms:created>
  <dcterms:modified xsi:type="dcterms:W3CDTF">2019-11-26T03:53:00Z</dcterms:modified>
</cp:coreProperties>
</file>